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866A" w14:textId="77777777" w:rsidR="005A02C6" w:rsidRDefault="00CF1F95">
      <w:pPr>
        <w:spacing w:after="0"/>
      </w:pPr>
      <w:r>
        <w:rPr>
          <w:sz w:val="26"/>
        </w:rPr>
        <w:t>PKF Littlejohn LLP</w:t>
      </w:r>
    </w:p>
    <w:p w14:paraId="24CF866B" w14:textId="77777777" w:rsidR="005A02C6" w:rsidRDefault="00CF1F95" w:rsidP="00B70E8D">
      <w:pPr>
        <w:spacing w:after="0"/>
        <w:ind w:right="137"/>
      </w:pPr>
      <w:r>
        <w:rPr>
          <w:rFonts w:ascii="Times New Roman" w:eastAsia="Times New Roman" w:hAnsi="Times New Roman" w:cs="Times New Roman"/>
          <w:sz w:val="72"/>
        </w:rPr>
        <w:t>PKF</w:t>
      </w:r>
    </w:p>
    <w:p w14:paraId="24CF866C" w14:textId="77777777" w:rsidR="005A02C6" w:rsidRDefault="00CF1F95" w:rsidP="00B70E8D">
      <w:pPr>
        <w:spacing w:after="0" w:line="219" w:lineRule="auto"/>
        <w:jc w:val="both"/>
      </w:pPr>
      <w:r>
        <w:rPr>
          <w:sz w:val="20"/>
        </w:rPr>
        <w:t>Accountants &amp; business advisers</w:t>
      </w:r>
    </w:p>
    <w:p w14:paraId="24CF866D" w14:textId="77777777" w:rsidR="005A02C6" w:rsidRDefault="005A02C6">
      <w:pPr>
        <w:sectPr w:rsidR="005A02C6" w:rsidSect="00951545">
          <w:pgSz w:w="11909" w:h="16841"/>
          <w:pgMar w:top="583" w:right="768" w:bottom="221" w:left="1629" w:header="720" w:footer="720" w:gutter="0"/>
          <w:cols w:space="720"/>
        </w:sectPr>
      </w:pPr>
    </w:p>
    <w:p w14:paraId="24CF866E" w14:textId="77777777" w:rsidR="005A02C6" w:rsidRDefault="00CF1F95">
      <w:pPr>
        <w:spacing w:after="324" w:line="216" w:lineRule="auto"/>
        <w:ind w:left="402" w:right="987" w:hanging="10"/>
      </w:pPr>
      <w:r>
        <w:rPr>
          <w:sz w:val="30"/>
        </w:rPr>
        <w:t>Final External Auditor Report and Certificate 2017/18 in respect of LA0069 Earby Town Council</w:t>
      </w:r>
    </w:p>
    <w:p w14:paraId="24CF866F" w14:textId="77777777" w:rsidR="005A02C6" w:rsidRDefault="00CF1F95">
      <w:pPr>
        <w:spacing w:after="54" w:line="216" w:lineRule="auto"/>
        <w:ind w:left="402" w:right="987" w:hanging="10"/>
      </w:pPr>
      <w:r>
        <w:rPr>
          <w:sz w:val="30"/>
        </w:rPr>
        <w:t>Respective responsibilities of the body and the auditor</w:t>
      </w:r>
    </w:p>
    <w:p w14:paraId="24CF8670" w14:textId="77777777" w:rsidR="005A02C6" w:rsidRDefault="00CF1F95">
      <w:pPr>
        <w:spacing w:after="35" w:line="219" w:lineRule="auto"/>
        <w:ind w:left="402" w:hanging="10"/>
      </w:pPr>
      <w:r>
        <w:rPr>
          <w:sz w:val="24"/>
        </w:rPr>
        <w:t xml:space="preserve">This authority is responsible for ensuring that its financial management is adequate and effective </w:t>
      </w:r>
      <w:r>
        <w:rPr>
          <w:noProof/>
        </w:rPr>
        <w:drawing>
          <wp:inline distT="0" distB="0" distL="0" distR="0" wp14:anchorId="24CF8683" wp14:editId="24CF8684">
            <wp:extent cx="3232" cy="3232"/>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4"/>
                    <a:stretch>
                      <a:fillRect/>
                    </a:stretch>
                  </pic:blipFill>
                  <pic:spPr>
                    <a:xfrm>
                      <a:off x="0" y="0"/>
                      <a:ext cx="3232" cy="3232"/>
                    </a:xfrm>
                    <a:prstGeom prst="rect">
                      <a:avLst/>
                    </a:prstGeom>
                  </pic:spPr>
                </pic:pic>
              </a:graphicData>
            </a:graphic>
          </wp:inline>
        </w:drawing>
      </w:r>
      <w:r>
        <w:rPr>
          <w:sz w:val="24"/>
        </w:rPr>
        <w:t>and that it has a sound system of internal control. The authority prepares an Annual Governance and Accountability Return in accordance with Proper Practices which:</w:t>
      </w:r>
    </w:p>
    <w:p w14:paraId="24CF8671" w14:textId="77777777" w:rsidR="005A02C6" w:rsidRDefault="00CF1F95">
      <w:pPr>
        <w:spacing w:after="35" w:line="219" w:lineRule="auto"/>
        <w:ind w:left="748" w:hanging="10"/>
      </w:pPr>
      <w:r>
        <w:rPr>
          <w:sz w:val="24"/>
        </w:rPr>
        <w:t>• summarises the accounting records for the year ended 31 March 2018; and</w:t>
      </w:r>
    </w:p>
    <w:p w14:paraId="24CF8672" w14:textId="77777777" w:rsidR="005A02C6" w:rsidRDefault="00CF1F95">
      <w:pPr>
        <w:spacing w:after="14" w:line="219" w:lineRule="auto"/>
        <w:ind w:left="1110" w:hanging="372"/>
      </w:pPr>
      <w:r>
        <w:rPr>
          <w:noProof/>
        </w:rPr>
        <w:drawing>
          <wp:inline distT="0" distB="0" distL="0" distR="0" wp14:anchorId="24CF8685" wp14:editId="24CF8686">
            <wp:extent cx="3232" cy="3232"/>
            <wp:effectExtent l="0" t="0" r="0" b="0"/>
            <wp:docPr id="3199" name="Picture 3199"/>
            <wp:cNvGraphicFramePr/>
            <a:graphic xmlns:a="http://schemas.openxmlformats.org/drawingml/2006/main">
              <a:graphicData uri="http://schemas.openxmlformats.org/drawingml/2006/picture">
                <pic:pic xmlns:pic="http://schemas.openxmlformats.org/drawingml/2006/picture">
                  <pic:nvPicPr>
                    <pic:cNvPr id="3199" name="Picture 3199"/>
                    <pic:cNvPicPr/>
                  </pic:nvPicPr>
                  <pic:blipFill>
                    <a:blip r:embed="rId5"/>
                    <a:stretch>
                      <a:fillRect/>
                    </a:stretch>
                  </pic:blipFill>
                  <pic:spPr>
                    <a:xfrm>
                      <a:off x="0" y="0"/>
                      <a:ext cx="3232" cy="3232"/>
                    </a:xfrm>
                    <a:prstGeom prst="rect">
                      <a:avLst/>
                    </a:prstGeom>
                  </pic:spPr>
                </pic:pic>
              </a:graphicData>
            </a:graphic>
          </wp:inline>
        </w:drawing>
      </w:r>
      <w:r>
        <w:rPr>
          <w:sz w:val="24"/>
        </w:rPr>
        <w:t>• confirms and provides assurance on those matters that are relevant to our duties and responsibilities as external auditors.</w:t>
      </w:r>
      <w:r>
        <w:rPr>
          <w:noProof/>
        </w:rPr>
        <w:drawing>
          <wp:inline distT="0" distB="0" distL="0" distR="0" wp14:anchorId="24CF8687" wp14:editId="24CF8688">
            <wp:extent cx="3232" cy="6463"/>
            <wp:effectExtent l="0" t="0" r="0" b="0"/>
            <wp:docPr id="3200" name="Picture 3200"/>
            <wp:cNvGraphicFramePr/>
            <a:graphic xmlns:a="http://schemas.openxmlformats.org/drawingml/2006/main">
              <a:graphicData uri="http://schemas.openxmlformats.org/drawingml/2006/picture">
                <pic:pic xmlns:pic="http://schemas.openxmlformats.org/drawingml/2006/picture">
                  <pic:nvPicPr>
                    <pic:cNvPr id="3200" name="Picture 3200"/>
                    <pic:cNvPicPr/>
                  </pic:nvPicPr>
                  <pic:blipFill>
                    <a:blip r:embed="rId6"/>
                    <a:stretch>
                      <a:fillRect/>
                    </a:stretch>
                  </pic:blipFill>
                  <pic:spPr>
                    <a:xfrm>
                      <a:off x="0" y="0"/>
                      <a:ext cx="3232" cy="6463"/>
                    </a:xfrm>
                    <a:prstGeom prst="rect">
                      <a:avLst/>
                    </a:prstGeom>
                  </pic:spPr>
                </pic:pic>
              </a:graphicData>
            </a:graphic>
          </wp:inline>
        </w:drawing>
      </w:r>
    </w:p>
    <w:p w14:paraId="29DAB3A4" w14:textId="77777777" w:rsidR="00951545" w:rsidRDefault="00CF1F95" w:rsidP="00951545">
      <w:pPr>
        <w:spacing w:after="0"/>
        <w:ind w:left="341"/>
      </w:pPr>
      <w:r>
        <w:rPr>
          <w:sz w:val="24"/>
        </w:rPr>
        <w:t>Our responsibility is to review Sections 1 and 2 of the Annual Governance and Accountability Return in accordance with guidance issued by the National Audit Office (NAO) on behalf of the Comptroller and Auditor General (see note below), Our work does not constitute an audit carried out in accordance with International Standards on Auditing (UK &amp; Ireland) and does not provide</w:t>
      </w:r>
      <w:r w:rsidR="00951545">
        <w:rPr>
          <w:sz w:val="24"/>
        </w:rPr>
        <w:t xml:space="preserve"> </w:t>
      </w:r>
      <w:r w:rsidR="00951545">
        <w:t>the same level of assurance that such an audit would do.</w:t>
      </w:r>
      <w:r w:rsidR="00951545">
        <w:rPr>
          <w:noProof/>
        </w:rPr>
        <w:drawing>
          <wp:inline distT="0" distB="0" distL="0" distR="0" wp14:anchorId="63AA5698" wp14:editId="18C9043A">
            <wp:extent cx="3232" cy="3232"/>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7"/>
                    <a:stretch>
                      <a:fillRect/>
                    </a:stretch>
                  </pic:blipFill>
                  <pic:spPr>
                    <a:xfrm>
                      <a:off x="0" y="0"/>
                      <a:ext cx="3232" cy="3232"/>
                    </a:xfrm>
                    <a:prstGeom prst="rect">
                      <a:avLst/>
                    </a:prstGeom>
                  </pic:spPr>
                </pic:pic>
              </a:graphicData>
            </a:graphic>
          </wp:inline>
        </w:drawing>
      </w:r>
    </w:p>
    <w:p w14:paraId="24CF8673" w14:textId="462A667B" w:rsidR="005A02C6" w:rsidRDefault="005A02C6">
      <w:pPr>
        <w:spacing w:after="0" w:line="222" w:lineRule="auto"/>
        <w:ind w:left="366" w:right="316"/>
        <w:jc w:val="both"/>
      </w:pPr>
    </w:p>
    <w:p w14:paraId="24CF8676" w14:textId="77777777" w:rsidR="005A02C6" w:rsidRDefault="00CF1F95">
      <w:pPr>
        <w:pStyle w:val="Heading1"/>
        <w:ind w:left="361"/>
      </w:pPr>
      <w:r>
        <w:t>External auditor report 2017/18</w:t>
      </w:r>
    </w:p>
    <w:p w14:paraId="24CF8677" w14:textId="77777777" w:rsidR="005A02C6" w:rsidRDefault="00CF1F95">
      <w:pPr>
        <w:spacing w:after="204" w:line="220" w:lineRule="auto"/>
        <w:ind w:left="346" w:right="316" w:hanging="5"/>
        <w:jc w:val="both"/>
      </w:pPr>
      <w:r>
        <w:t xml:space="preserve">On 28 September 2018 we issued a report detailing the results of our limited assurance review of Sections 1 and 2 of this authority's Annual Governance &amp; Accountability Return for the year ended 31 March 2018. We explained that we were unable to certify completion of the review at that time. We are now </w:t>
      </w:r>
      <w:proofErr w:type="gramStart"/>
      <w:r>
        <w:t>in a position</w:t>
      </w:r>
      <w:proofErr w:type="gramEnd"/>
      <w:r>
        <w:t xml:space="preserve"> to certify completion of the review.</w:t>
      </w:r>
    </w:p>
    <w:p w14:paraId="24CF8678" w14:textId="77777777" w:rsidR="005A02C6" w:rsidRDefault="00CF1F95">
      <w:pPr>
        <w:spacing w:after="244" w:line="219" w:lineRule="auto"/>
        <w:ind w:left="361" w:hanging="10"/>
      </w:pPr>
      <w:r>
        <w:rPr>
          <w:noProof/>
        </w:rPr>
        <w:drawing>
          <wp:anchor distT="0" distB="0" distL="114300" distR="114300" simplePos="0" relativeHeight="251658240" behindDoc="0" locked="0" layoutInCell="1" allowOverlap="0" wp14:anchorId="24CF868D" wp14:editId="24CF868E">
            <wp:simplePos x="0" y="0"/>
            <wp:positionH relativeFrom="page">
              <wp:posOffset>7087034</wp:posOffset>
            </wp:positionH>
            <wp:positionV relativeFrom="page">
              <wp:posOffset>1260388</wp:posOffset>
            </wp:positionV>
            <wp:extent cx="3232" cy="6463"/>
            <wp:effectExtent l="0" t="0" r="0" b="0"/>
            <wp:wrapSquare wrapText="bothSides"/>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8"/>
                    <a:stretch>
                      <a:fillRect/>
                    </a:stretch>
                  </pic:blipFill>
                  <pic:spPr>
                    <a:xfrm>
                      <a:off x="0" y="0"/>
                      <a:ext cx="3232" cy="6463"/>
                    </a:xfrm>
                    <a:prstGeom prst="rect">
                      <a:avLst/>
                    </a:prstGeom>
                  </pic:spPr>
                </pic:pic>
              </a:graphicData>
            </a:graphic>
          </wp:anchor>
        </w:drawing>
      </w:r>
      <w:r>
        <w:rPr>
          <w:sz w:val="24"/>
        </w:rPr>
        <w:t>The external auditor report given in Section 3 of the Annual Governance &amp; Accountability Return requires amendments as follows:</w:t>
      </w:r>
      <w:r>
        <w:rPr>
          <w:noProof/>
        </w:rPr>
        <w:drawing>
          <wp:inline distT="0" distB="0" distL="0" distR="0" wp14:anchorId="24CF868F" wp14:editId="24CF8690">
            <wp:extent cx="3232" cy="6464"/>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9"/>
                    <a:stretch>
                      <a:fillRect/>
                    </a:stretch>
                  </pic:blipFill>
                  <pic:spPr>
                    <a:xfrm>
                      <a:off x="0" y="0"/>
                      <a:ext cx="3232" cy="6464"/>
                    </a:xfrm>
                    <a:prstGeom prst="rect">
                      <a:avLst/>
                    </a:prstGeom>
                  </pic:spPr>
                </pic:pic>
              </a:graphicData>
            </a:graphic>
          </wp:inline>
        </w:drawing>
      </w:r>
    </w:p>
    <w:p w14:paraId="24CF8679" w14:textId="77777777" w:rsidR="005A02C6" w:rsidRDefault="00CF1F95">
      <w:pPr>
        <w:spacing w:after="215" w:line="219" w:lineRule="auto"/>
        <w:ind w:left="331" w:right="311" w:hanging="10"/>
        <w:jc w:val="both"/>
      </w:pPr>
      <w:proofErr w:type="gramStart"/>
      <w:r>
        <w:rPr>
          <w:sz w:val="20"/>
        </w:rPr>
        <w:t>On the basis of</w:t>
      </w:r>
      <w:proofErr w:type="gramEnd"/>
      <w:r>
        <w:rPr>
          <w:sz w:val="20"/>
        </w:rPr>
        <w:t xml:space="preserve"> our review of Sections I and 2 of the Annual Governance and Accountability Return (AGAR), in our opinion the information in Sections 1 and 2 of the </w:t>
      </w:r>
      <w:proofErr w:type="gramStart"/>
      <w:r>
        <w:rPr>
          <w:sz w:val="20"/>
        </w:rPr>
        <w:t>AGAR</w:t>
      </w:r>
      <w:proofErr w:type="gramEnd"/>
      <w:r>
        <w:rPr>
          <w:sz w:val="20"/>
        </w:rPr>
        <w:t xml:space="preserve"> is in accordance with Proper Practices and no other </w:t>
      </w:r>
      <w:r>
        <w:rPr>
          <w:noProof/>
        </w:rPr>
        <w:drawing>
          <wp:inline distT="0" distB="0" distL="0" distR="0" wp14:anchorId="24CF8691" wp14:editId="24CF8692">
            <wp:extent cx="3232" cy="6464"/>
            <wp:effectExtent l="0" t="0" r="0" b="0"/>
            <wp:docPr id="3204" name="Picture 3204"/>
            <wp:cNvGraphicFramePr/>
            <a:graphic xmlns:a="http://schemas.openxmlformats.org/drawingml/2006/main">
              <a:graphicData uri="http://schemas.openxmlformats.org/drawingml/2006/picture">
                <pic:pic xmlns:pic="http://schemas.openxmlformats.org/drawingml/2006/picture">
                  <pic:nvPicPr>
                    <pic:cNvPr id="3204" name="Picture 3204"/>
                    <pic:cNvPicPr/>
                  </pic:nvPicPr>
                  <pic:blipFill>
                    <a:blip r:embed="rId10"/>
                    <a:stretch>
                      <a:fillRect/>
                    </a:stretch>
                  </pic:blipFill>
                  <pic:spPr>
                    <a:xfrm>
                      <a:off x="0" y="0"/>
                      <a:ext cx="3232" cy="6464"/>
                    </a:xfrm>
                    <a:prstGeom prst="rect">
                      <a:avLst/>
                    </a:prstGeom>
                  </pic:spPr>
                </pic:pic>
              </a:graphicData>
            </a:graphic>
          </wp:inline>
        </w:drawing>
      </w:r>
      <w:r>
        <w:rPr>
          <w:sz w:val="20"/>
        </w:rPr>
        <w:t>matters have come to our attention giving cause for concern that relevant legislation and regulatory requirements have not been met.</w:t>
      </w:r>
    </w:p>
    <w:p w14:paraId="24CF867A" w14:textId="72BE653F" w:rsidR="005A02C6" w:rsidRDefault="00CF1F95">
      <w:pPr>
        <w:spacing w:after="244" w:line="219" w:lineRule="auto"/>
        <w:ind w:left="331" w:right="311" w:hanging="10"/>
        <w:jc w:val="both"/>
      </w:pPr>
      <w:r>
        <w:rPr>
          <w:sz w:val="20"/>
        </w:rPr>
        <w:t>Other matters not affecting our opinion which we draw to the attention of the authority:</w:t>
      </w:r>
      <w:r>
        <w:rPr>
          <w:noProof/>
        </w:rPr>
        <w:drawing>
          <wp:inline distT="0" distB="0" distL="0" distR="0" wp14:anchorId="24CF8695" wp14:editId="24CF8696">
            <wp:extent cx="3232" cy="6464"/>
            <wp:effectExtent l="0" t="0" r="0" b="0"/>
            <wp:docPr id="3206" name="Picture 3206"/>
            <wp:cNvGraphicFramePr/>
            <a:graphic xmlns:a="http://schemas.openxmlformats.org/drawingml/2006/main">
              <a:graphicData uri="http://schemas.openxmlformats.org/drawingml/2006/picture">
                <pic:pic xmlns:pic="http://schemas.openxmlformats.org/drawingml/2006/picture">
                  <pic:nvPicPr>
                    <pic:cNvPr id="3206" name="Picture 3206"/>
                    <pic:cNvPicPr/>
                  </pic:nvPicPr>
                  <pic:blipFill>
                    <a:blip r:embed="rId11"/>
                    <a:stretch>
                      <a:fillRect/>
                    </a:stretch>
                  </pic:blipFill>
                  <pic:spPr>
                    <a:xfrm>
                      <a:off x="0" y="0"/>
                      <a:ext cx="3232" cy="6464"/>
                    </a:xfrm>
                    <a:prstGeom prst="rect">
                      <a:avLst/>
                    </a:prstGeom>
                  </pic:spPr>
                </pic:pic>
              </a:graphicData>
            </a:graphic>
          </wp:inline>
        </w:drawing>
      </w:r>
    </w:p>
    <w:p w14:paraId="24CF867B" w14:textId="77777777" w:rsidR="005A02C6" w:rsidRDefault="00CF1F95">
      <w:pPr>
        <w:spacing w:after="262" w:line="219" w:lineRule="auto"/>
        <w:ind w:left="1053" w:right="311" w:hanging="351"/>
        <w:jc w:val="both"/>
      </w:pPr>
      <w:r>
        <w:rPr>
          <w:noProof/>
        </w:rPr>
        <w:drawing>
          <wp:inline distT="0" distB="0" distL="0" distR="0" wp14:anchorId="24CF8697" wp14:editId="24CF8698">
            <wp:extent cx="210058" cy="61404"/>
            <wp:effectExtent l="0" t="0" r="0" b="0"/>
            <wp:docPr id="6960" name="Picture 6960"/>
            <wp:cNvGraphicFramePr/>
            <a:graphic xmlns:a="http://schemas.openxmlformats.org/drawingml/2006/main">
              <a:graphicData uri="http://schemas.openxmlformats.org/drawingml/2006/picture">
                <pic:pic xmlns:pic="http://schemas.openxmlformats.org/drawingml/2006/picture">
                  <pic:nvPicPr>
                    <pic:cNvPr id="6960" name="Picture 6960"/>
                    <pic:cNvPicPr/>
                  </pic:nvPicPr>
                  <pic:blipFill>
                    <a:blip r:embed="rId12"/>
                    <a:stretch>
                      <a:fillRect/>
                    </a:stretch>
                  </pic:blipFill>
                  <pic:spPr>
                    <a:xfrm>
                      <a:off x="0" y="0"/>
                      <a:ext cx="210058" cy="61404"/>
                    </a:xfrm>
                    <a:prstGeom prst="rect">
                      <a:avLst/>
                    </a:prstGeom>
                  </pic:spPr>
                </pic:pic>
              </a:graphicData>
            </a:graphic>
          </wp:inline>
        </w:drawing>
      </w:r>
      <w:r>
        <w:rPr>
          <w:sz w:val="20"/>
        </w:rPr>
        <w:t>We note that the smaller authority did not comply with Regulation 15 of the Accounts and Audit Regulations 2015 as it failed to make proper provision during the year 2018/19 for the exercise of public rights, since the approval date was after the start of the period for the exercise of public rights. As a result, the smaller authority must answer 'No' to Assertion 4 of the Annual Governance Statement for 2018/19 and ensure that it makes proper provision for the exercise of public rights during 2019/20.</w:t>
      </w:r>
    </w:p>
    <w:p w14:paraId="24CF867C" w14:textId="77777777" w:rsidR="005A02C6" w:rsidRDefault="00CF1F95">
      <w:pPr>
        <w:pStyle w:val="Heading1"/>
        <w:ind w:left="361"/>
      </w:pPr>
      <w:r>
        <w:t>External auditor certificate 2017118</w:t>
      </w:r>
    </w:p>
    <w:p w14:paraId="24CF867D" w14:textId="34C2F431" w:rsidR="005A02C6" w:rsidRDefault="00CF1F95">
      <w:pPr>
        <w:spacing w:after="400" w:line="220" w:lineRule="auto"/>
        <w:ind w:left="346" w:right="316" w:hanging="5"/>
        <w:jc w:val="both"/>
      </w:pPr>
      <w:r>
        <w:t xml:space="preserve">We certify that we have completed our review of Sections 1 and 2 of the Annual Governance &amp; Accountability </w:t>
      </w:r>
      <w:proofErr w:type="gramStart"/>
      <w:r>
        <w:t>Return, and</w:t>
      </w:r>
      <w:proofErr w:type="gramEnd"/>
      <w:r>
        <w:t xml:space="preserve"> discharged our responsibilities under the Local Audit and Accountability Act 2014, for the year ended 31 March 2018.</w:t>
      </w:r>
      <w:r>
        <w:rPr>
          <w:noProof/>
        </w:rPr>
        <w:drawing>
          <wp:inline distT="0" distB="0" distL="0" distR="0" wp14:anchorId="24CF8699" wp14:editId="24CF869A">
            <wp:extent cx="3232" cy="3233"/>
            <wp:effectExtent l="0" t="0" r="0" b="0"/>
            <wp:docPr id="3210" name="Picture 3210"/>
            <wp:cNvGraphicFramePr/>
            <a:graphic xmlns:a="http://schemas.openxmlformats.org/drawingml/2006/main">
              <a:graphicData uri="http://schemas.openxmlformats.org/drawingml/2006/picture">
                <pic:pic xmlns:pic="http://schemas.openxmlformats.org/drawingml/2006/picture">
                  <pic:nvPicPr>
                    <pic:cNvPr id="3210" name="Picture 3210"/>
                    <pic:cNvPicPr/>
                  </pic:nvPicPr>
                  <pic:blipFill>
                    <a:blip r:embed="rId13"/>
                    <a:stretch>
                      <a:fillRect/>
                    </a:stretch>
                  </pic:blipFill>
                  <pic:spPr>
                    <a:xfrm>
                      <a:off x="0" y="0"/>
                      <a:ext cx="3232" cy="3233"/>
                    </a:xfrm>
                    <a:prstGeom prst="rect">
                      <a:avLst/>
                    </a:prstGeom>
                  </pic:spPr>
                </pic:pic>
              </a:graphicData>
            </a:graphic>
          </wp:inline>
        </w:drawing>
      </w:r>
    </w:p>
    <w:p w14:paraId="24CF867E" w14:textId="0F138768" w:rsidR="005A02C6" w:rsidRDefault="00951545">
      <w:pPr>
        <w:pStyle w:val="Heading1"/>
        <w:ind w:left="407" w:firstLine="0"/>
      </w:pPr>
      <w:r>
        <w:rPr>
          <w:noProof/>
        </w:rPr>
        <w:drawing>
          <wp:inline distT="0" distB="0" distL="0" distR="0" wp14:anchorId="7B3E5095" wp14:editId="29BD2A21">
            <wp:extent cx="1131082" cy="336103"/>
            <wp:effectExtent l="0" t="0" r="0" b="0"/>
            <wp:docPr id="3459" name="Picture 3459" descr="A close up of a word&#10;&#10;AI-generated content may be incorrect."/>
            <wp:cNvGraphicFramePr/>
            <a:graphic xmlns:a="http://schemas.openxmlformats.org/drawingml/2006/main">
              <a:graphicData uri="http://schemas.openxmlformats.org/drawingml/2006/picture">
                <pic:pic xmlns:pic="http://schemas.openxmlformats.org/drawingml/2006/picture">
                  <pic:nvPicPr>
                    <pic:cNvPr id="3459" name="Picture 3459" descr="A close up of a word&#10;&#10;AI-generated content may be incorrect."/>
                    <pic:cNvPicPr/>
                  </pic:nvPicPr>
                  <pic:blipFill>
                    <a:blip r:embed="rId14"/>
                    <a:stretch>
                      <a:fillRect/>
                    </a:stretch>
                  </pic:blipFill>
                  <pic:spPr>
                    <a:xfrm>
                      <a:off x="0" y="0"/>
                      <a:ext cx="1131082" cy="336103"/>
                    </a:xfrm>
                    <a:prstGeom prst="rect">
                      <a:avLst/>
                    </a:prstGeom>
                  </pic:spPr>
                </pic:pic>
              </a:graphicData>
            </a:graphic>
          </wp:inline>
        </w:drawing>
      </w:r>
    </w:p>
    <w:p w14:paraId="24CF867F" w14:textId="77777777" w:rsidR="005A02C6" w:rsidRDefault="00CF1F95">
      <w:pPr>
        <w:pStyle w:val="Heading2"/>
        <w:ind w:left="361"/>
      </w:pPr>
      <w:r>
        <w:t>PKF Littlejohn LLP</w:t>
      </w:r>
    </w:p>
    <w:p w14:paraId="5ECFE9A8" w14:textId="77777777" w:rsidR="00951545" w:rsidRDefault="00CF1F95" w:rsidP="00951545">
      <w:pPr>
        <w:spacing w:after="729"/>
        <w:ind w:left="366"/>
        <w:rPr>
          <w:rFonts w:ascii="Times New Roman" w:eastAsia="Times New Roman" w:hAnsi="Times New Roman" w:cs="Times New Roman"/>
          <w:sz w:val="26"/>
        </w:rPr>
      </w:pPr>
      <w:r>
        <w:rPr>
          <w:rFonts w:ascii="Times New Roman" w:eastAsia="Times New Roman" w:hAnsi="Times New Roman" w:cs="Times New Roman"/>
          <w:sz w:val="26"/>
        </w:rPr>
        <w:t>11/10/2018</w:t>
      </w:r>
    </w:p>
    <w:p w14:paraId="0B6099F1" w14:textId="059E1D5F" w:rsidR="00951545" w:rsidRDefault="00951545" w:rsidP="00951545">
      <w:pPr>
        <w:spacing w:after="729"/>
        <w:ind w:left="366"/>
      </w:pPr>
      <w:r>
        <w:rPr>
          <w:sz w:val="18"/>
        </w:rPr>
        <w:t xml:space="preserve">Tel: +44 (0)20 7516 2200 • Fax: +44 (0)20 7516 2400 • DX 42660 Isle of Dogs www.pkf-littlejohn.com PKF Littlejohn LLP • </w:t>
      </w:r>
      <w:proofErr w:type="spellStart"/>
      <w:r>
        <w:rPr>
          <w:sz w:val="18"/>
        </w:rPr>
        <w:t>Westferry</w:t>
      </w:r>
      <w:proofErr w:type="spellEnd"/>
      <w:r>
        <w:rPr>
          <w:sz w:val="18"/>
        </w:rPr>
        <w:t xml:space="preserve"> Circus • Canary Wharf • London E14 4HD</w:t>
      </w:r>
    </w:p>
    <w:sectPr w:rsidR="00951545">
      <w:type w:val="continuous"/>
      <w:pgSz w:w="11909" w:h="16841"/>
      <w:pgMar w:top="891" w:right="1023" w:bottom="221" w:left="12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C6"/>
    <w:rsid w:val="005A02C6"/>
    <w:rsid w:val="00951545"/>
    <w:rsid w:val="00B70E8D"/>
    <w:rsid w:val="00CF1F95"/>
    <w:rsid w:val="00DE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866A"/>
  <w15:docId w15:val="{88438FA3-12E8-4043-B64F-5207759D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76"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376"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Earby TC</dc:creator>
  <cp:keywords/>
  <cp:lastModifiedBy>Town Manager</cp:lastModifiedBy>
  <cp:revision>2</cp:revision>
  <dcterms:created xsi:type="dcterms:W3CDTF">2025-08-05T09:05:00Z</dcterms:created>
  <dcterms:modified xsi:type="dcterms:W3CDTF">2025-08-05T09:05:00Z</dcterms:modified>
</cp:coreProperties>
</file>